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8C" w:rsidRDefault="00307A8C" w:rsidP="001F7BFA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th-TH"/>
        </w:rPr>
      </w:pPr>
      <w:bookmarkStart w:id="0" w:name="_GoBack"/>
      <w:bookmarkEnd w:id="0"/>
    </w:p>
    <w:p w:rsidR="001F7BFA" w:rsidRPr="001F7BFA" w:rsidRDefault="001F7BFA" w:rsidP="001F7BFA">
      <w:pPr>
        <w:jc w:val="center"/>
        <w:rPr>
          <w:rFonts w:ascii="TH SarabunIT๙" w:eastAsia="Calibri" w:hAnsi="TH SarabunIT๙" w:cs="TH SarabunIT๙"/>
          <w:szCs w:val="32"/>
          <w:lang w:bidi="th-TH"/>
        </w:rPr>
      </w:pPr>
      <w:r w:rsidRPr="001F7BFA">
        <w:rPr>
          <w:rFonts w:ascii="TH SarabunIT๙" w:eastAsia="Calibri" w:hAnsi="TH SarabunIT๙" w:cs="TH SarabunIT๙"/>
          <w:b/>
          <w:bCs/>
          <w:sz w:val="36"/>
          <w:szCs w:val="36"/>
          <w:cs/>
          <w:lang w:bidi="th-TH"/>
        </w:rPr>
        <w:t>แผนปฏิบัติการส่งเสริมคุณธรรม</w:t>
      </w:r>
      <w:r w:rsidRPr="001F7BFA"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bidi="th-TH"/>
        </w:rPr>
        <w:t>จังหวัดนราธิวาส</w:t>
      </w:r>
      <w:r w:rsidRPr="001F7BFA">
        <w:rPr>
          <w:rFonts w:ascii="TH SarabunIT๙" w:eastAsia="Calibri" w:hAnsi="TH SarabunIT๙" w:cs="TH SarabunIT๙"/>
          <w:b/>
          <w:bCs/>
          <w:sz w:val="36"/>
          <w:szCs w:val="36"/>
          <w:lang w:bidi="th-TH"/>
        </w:rPr>
        <w:t xml:space="preserve"> </w:t>
      </w:r>
      <w:r w:rsidRPr="001F7BFA">
        <w:rPr>
          <w:rFonts w:ascii="TH SarabunIT๙" w:eastAsia="Calibri" w:hAnsi="TH SarabunIT๙" w:cs="TH SarabunIT๙"/>
          <w:b/>
          <w:bCs/>
          <w:sz w:val="36"/>
          <w:szCs w:val="36"/>
          <w:cs/>
          <w:lang w:bidi="th-TH"/>
        </w:rPr>
        <w:t>ประจำปี ๒๕๖</w:t>
      </w:r>
      <w:r w:rsidRPr="001F7BFA"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bidi="th-TH"/>
        </w:rPr>
        <w:t>๑</w:t>
      </w:r>
    </w:p>
    <w:p w:rsidR="001F7BFA" w:rsidRPr="001F7BFA" w:rsidRDefault="001F7BFA" w:rsidP="001F7BFA">
      <w:pPr>
        <w:spacing w:before="120" w:after="120"/>
        <w:ind w:left="539"/>
        <w:contextualSpacing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F7BF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3F2F5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1F7BF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เสริมสร้าง</w:t>
      </w:r>
      <w:r w:rsidR="003F2F5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ความร่วมมือด้านคุณธรรมกับประเทศอาเซียน</w:t>
      </w:r>
    </w:p>
    <w:p w:rsidR="001F7BFA" w:rsidRPr="001F7BFA" w:rsidRDefault="001F7BFA" w:rsidP="001F7BFA">
      <w:pPr>
        <w:ind w:left="540"/>
        <w:contextualSpacing/>
        <w:jc w:val="center"/>
        <w:rPr>
          <w:rFonts w:ascii="TH SarabunIT๙" w:eastAsia="Calibri" w:hAnsi="TH SarabunIT๙" w:cs="TH SarabunIT๙"/>
          <w:b/>
          <w:bCs/>
          <w:sz w:val="20"/>
          <w:szCs w:val="20"/>
          <w:lang w:bidi="th-TH"/>
        </w:rPr>
      </w:pPr>
    </w:p>
    <w:tbl>
      <w:tblPr>
        <w:tblStyle w:val="1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498"/>
        <w:gridCol w:w="1912"/>
        <w:gridCol w:w="1632"/>
        <w:gridCol w:w="1275"/>
        <w:gridCol w:w="1683"/>
        <w:gridCol w:w="1440"/>
        <w:gridCol w:w="1130"/>
        <w:gridCol w:w="992"/>
        <w:gridCol w:w="938"/>
        <w:gridCol w:w="900"/>
        <w:gridCol w:w="720"/>
      </w:tblGrid>
      <w:tr w:rsidR="001F7BFA" w:rsidRPr="001F7BFA" w:rsidTr="00B2321E">
        <w:trPr>
          <w:trHeight w:val="474"/>
        </w:trPr>
        <w:tc>
          <w:tcPr>
            <w:tcW w:w="2498" w:type="dxa"/>
            <w:vMerge w:val="restart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12" w:type="dxa"/>
            <w:vMerge w:val="restart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632" w:type="dxa"/>
            <w:vMerge w:val="restart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F7BFA">
              <w:rPr>
                <w:rFonts w:ascii="TH SarabunIT๙" w:eastAsia="Calibri" w:hAnsi="TH SarabunIT๙" w:cs="TH SarabunIT๙"/>
                <w:szCs w:val="22"/>
                <w:cs/>
              </w:rPr>
              <w:t>หน่วยงาน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1F7BFA">
              <w:rPr>
                <w:rFonts w:ascii="TH SarabunIT๙" w:eastAsia="Calibri" w:hAnsi="TH SarabunIT๙" w:cs="TH SarabunIT๙"/>
                <w:szCs w:val="22"/>
                <w:cs/>
              </w:rPr>
              <w:t>รับผิดชอบ</w:t>
            </w:r>
          </w:p>
        </w:tc>
        <w:tc>
          <w:tcPr>
            <w:tcW w:w="2958" w:type="dxa"/>
            <w:gridSpan w:val="2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  <w:vMerge w:val="restart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960" w:type="dxa"/>
            <w:gridSpan w:val="4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8"/>
                <w:cs/>
              </w:rPr>
              <w:t>หมายเหตุ</w:t>
            </w:r>
          </w:p>
        </w:tc>
      </w:tr>
      <w:tr w:rsidR="001F7BFA" w:rsidRPr="001F7BFA" w:rsidTr="00B2321E">
        <w:trPr>
          <w:trHeight w:val="1202"/>
        </w:trPr>
        <w:tc>
          <w:tcPr>
            <w:tcW w:w="2498" w:type="dxa"/>
            <w:vMerge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2" w:type="dxa"/>
            <w:vMerge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2" w:type="dxa"/>
            <w:vMerge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683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440" w:type="dxa"/>
            <w:vMerge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0" w:type="dxa"/>
            <w:vAlign w:val="center"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๑</w:t>
            </w:r>
          </w:p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(ต.ค.-ธ.ค.</w:t>
            </w:r>
            <w:r w:rsidRPr="001F7BFA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๖๐</w:t>
            </w: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๒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(ม.ค.-มี.ค.๖๑)</w:t>
            </w:r>
          </w:p>
        </w:tc>
        <w:tc>
          <w:tcPr>
            <w:tcW w:w="938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๓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  <w:vAlign w:val="center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๔</w:t>
            </w:r>
          </w:p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(ก.ค.-ก.ย.๖๑)</w:t>
            </w:r>
          </w:p>
        </w:tc>
        <w:tc>
          <w:tcPr>
            <w:tcW w:w="720" w:type="dxa"/>
            <w:vMerge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1F7BFA" w:rsidRPr="001F7BFA" w:rsidTr="00B2321E">
        <w:tc>
          <w:tcPr>
            <w:tcW w:w="2498" w:type="dxa"/>
          </w:tcPr>
          <w:p w:rsidR="001F7BFA" w:rsidRDefault="001F7BFA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1F7B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๑. </w:t>
            </w:r>
            <w:r w:rsidRPr="001F7BF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  <w:r w:rsidR="003F2F51">
              <w:rPr>
                <w:rFonts w:ascii="TH SarabunIT๙" w:eastAsia="Calibri" w:hAnsi="TH SarabunIT๙" w:cs="TH SarabunIT๙" w:hint="cs"/>
                <w:sz w:val="28"/>
                <w:cs/>
              </w:rPr>
              <w:t>เยาชน สยามเยือนถิ่นมาตุภูมิ</w:t>
            </w:r>
          </w:p>
          <w:p w:rsidR="003F2F51" w:rsidRDefault="003F2F51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(เยือนประเทศมาเลเซีย)</w:t>
            </w:r>
          </w:p>
          <w:p w:rsidR="003F2F51" w:rsidRPr="001F7BFA" w:rsidRDefault="003F2F51" w:rsidP="003F2F51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3F2F51" w:rsidRDefault="003F2F51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F2F51" w:rsidRDefault="003F2F51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291C91" w:rsidRDefault="00291C91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F2F51" w:rsidRDefault="003F2F51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B2321E" w:rsidRDefault="00B2321E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98173A" w:rsidRDefault="00291C91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๒. โครงการส่งเสริมสังคมสันติสุขอยู่เย็นเป็นสุข</w:t>
            </w:r>
            <w:r w:rsidR="00350E96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ในพื้นที่</w:t>
            </w:r>
          </w:p>
          <w:p w:rsidR="003F2F51" w:rsidRDefault="00350E96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๕ </w:t>
            </w:r>
            <w:proofErr w:type="spellStart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จชต</w:t>
            </w:r>
            <w:proofErr w:type="spellEnd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.</w:t>
            </w:r>
          </w:p>
          <w:p w:rsidR="00291C91" w:rsidRDefault="00291C91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(เยียนประเทศ</w:t>
            </w:r>
            <w:r w:rsidR="0098173A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สาธารณรัฐแห่งสภาพ</w:t>
            </w:r>
            <w:proofErr w:type="spellStart"/>
            <w:r w:rsidR="0098173A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เมียนมาร์</w:t>
            </w:r>
            <w:proofErr w:type="spellEnd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)</w:t>
            </w:r>
            <w:r w:rsidR="00B2321E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 ใน</w:t>
            </w: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 xml:space="preserve">๕ </w:t>
            </w:r>
            <w:proofErr w:type="spellStart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จชต</w:t>
            </w:r>
            <w:proofErr w:type="spellEnd"/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.</w:t>
            </w:r>
          </w:p>
          <w:p w:rsidR="003F2F51" w:rsidRDefault="00350E96" w:rsidP="001F7BFA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(กิจกรรมสานสัมพันธ์พุทธวิถีเ</w:t>
            </w:r>
            <w:r w:rsidR="00B2321E"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ชื่อ</w:t>
            </w:r>
            <w:r>
              <w:rPr>
                <w:rFonts w:ascii="TH SarabunIT๙" w:eastAsia="DotumChe" w:hAnsi="TH SarabunIT๙" w:cs="TH SarabunIT๙" w:hint="cs"/>
                <w:color w:val="000000"/>
                <w:sz w:val="28"/>
                <w:cs/>
              </w:rPr>
              <w:t>มโยงชายแดนใต้สู่อาเซียน)</w:t>
            </w:r>
          </w:p>
          <w:p w:rsidR="00291C91" w:rsidRDefault="00291C91" w:rsidP="001F7BFA">
            <w:pPr>
              <w:tabs>
                <w:tab w:val="left" w:pos="284"/>
                <w:tab w:val="left" w:pos="1440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F7BFA" w:rsidRPr="001F7BFA" w:rsidRDefault="001F7BFA" w:rsidP="001F7BFA">
            <w:pPr>
              <w:tabs>
                <w:tab w:val="left" w:pos="284"/>
                <w:tab w:val="left" w:pos="1440"/>
              </w:tabs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12" w:type="dxa"/>
          </w:tcPr>
          <w:p w:rsidR="001F7BFA" w:rsidRDefault="001F7BFA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1F7BFA">
              <w:rPr>
                <w:rFonts w:ascii="TH SarabunIT๙" w:eastAsia="Calibri" w:hAnsi="TH SarabunIT๙" w:cs="TH SarabunIT๙" w:hint="cs"/>
                <w:sz w:val="28"/>
                <w:cs/>
              </w:rPr>
              <w:t>เพื่อ</w:t>
            </w:r>
            <w:r w:rsidR="003F2F51">
              <w:rPr>
                <w:rFonts w:ascii="TH SarabunIT๙" w:eastAsia="Calibri" w:hAnsi="TH SarabunIT๙" w:cs="TH SarabunIT๙" w:hint="cs"/>
                <w:sz w:val="28"/>
                <w:cs/>
              </w:rPr>
              <w:t>ไปเยี่ยมเยียน ศึกษาดูงานและแลก เปลี่ยนเรียนรู้ด้านการปลูกฝังคุณธรรมและการเผยแผ่พระพุทธศาสนากับประเทศเพื่อนบ้าน</w:t>
            </w:r>
          </w:p>
          <w:p w:rsidR="003F2F51" w:rsidRPr="001F7BFA" w:rsidRDefault="003F2F51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ประชาคมอาเซียน</w:t>
            </w:r>
          </w:p>
          <w:p w:rsidR="001F7BFA" w:rsidRDefault="00291C91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  <w:p w:rsidR="00291C91" w:rsidRPr="001F7BFA" w:rsidRDefault="0098173A" w:rsidP="000A6A6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เพื่อศึกษา</w:t>
            </w:r>
            <w:r w:rsidR="000A6A65">
              <w:rPr>
                <w:rFonts w:ascii="TH SarabunIT๙" w:eastAsia="Calibri" w:hAnsi="TH SarabunIT๙" w:cs="TH SarabunIT๙" w:hint="cs"/>
                <w:sz w:val="28"/>
                <w:cs/>
              </w:rPr>
              <w:t>ศ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าสนาเปรียบเทียบแนวคิดหลักการดูแล บริหารจัด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การศา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สนสถานและการธำรงศรัทธาของพุทธ</w:t>
            </w:r>
            <w:r w:rsidR="000A6A65">
              <w:rPr>
                <w:rFonts w:ascii="TH SarabunIT๙" w:eastAsia="Calibri" w:hAnsi="TH SarabunIT๙" w:cs="TH SarabunIT๙" w:hint="cs"/>
                <w:sz w:val="28"/>
                <w:cs/>
              </w:rPr>
              <w:t>ศ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าสนิกชน ในประเทศอา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ซัยน</w:t>
            </w:r>
            <w:proofErr w:type="spellEnd"/>
          </w:p>
        </w:tc>
        <w:tc>
          <w:tcPr>
            <w:tcW w:w="1632" w:type="dxa"/>
          </w:tcPr>
          <w:p w:rsidR="001F7BFA" w:rsidRDefault="003F2F51" w:rsidP="001F7BFA">
            <w:pPr>
              <w:rPr>
                <w:rFonts w:ascii="TH SarabunIT๙" w:eastAsia="Calibri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.พระพุทธศาสนา</w:t>
            </w:r>
          </w:p>
          <w:p w:rsidR="003F2F51" w:rsidRDefault="003F2F51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จ.</w:t>
            </w:r>
            <w:r w:rsidR="00291C91">
              <w:rPr>
                <w:rFonts w:ascii="TH SarabunIT๙" w:eastAsia="Calibri" w:hAnsi="TH SarabunIT๙" w:cs="TH SarabunIT๙" w:hint="cs"/>
                <w:sz w:val="28"/>
                <w:cs/>
              </w:rPr>
              <w:t>นธ</w:t>
            </w:r>
            <w:proofErr w:type="spellEnd"/>
            <w:r w:rsidR="00291C91"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</w:p>
          <w:p w:rsidR="00291C91" w:rsidRDefault="00291C91" w:rsidP="003F2F5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พศ.สข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 เจ้าของเรื่อง)</w:t>
            </w:r>
          </w:p>
          <w:p w:rsidR="00291C91" w:rsidRDefault="00291C91" w:rsidP="003F2F5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50E96" w:rsidRDefault="00350E96" w:rsidP="003F2F5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50E96" w:rsidRDefault="00350E96" w:rsidP="003F2F5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3F2F5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50E96" w:rsidRDefault="00291C91" w:rsidP="00291C91">
            <w:pPr>
              <w:rPr>
                <w:rFonts w:ascii="TH SarabunIT๙" w:eastAsia="Calibri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.พระพุทธ</w:t>
            </w:r>
          </w:p>
          <w:p w:rsidR="00291C91" w:rsidRDefault="00291C91" w:rsidP="00291C9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ศาสนา</w:t>
            </w:r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98173A">
              <w:rPr>
                <w:rFonts w:ascii="TH SarabunIT๙" w:eastAsia="Calibri" w:hAnsi="TH SarabunIT๙" w:cs="TH SarabunIT๙" w:hint="cs"/>
                <w:sz w:val="28"/>
                <w:cs/>
              </w:rPr>
              <w:t>จ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.นธ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</w:p>
          <w:p w:rsidR="00291C91" w:rsidRDefault="00291C91" w:rsidP="00291C91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</w:t>
            </w:r>
            <w:r w:rsidR="00350E9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คณะสงฆ์และ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พศ.ปต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.. เจ้าของเรื่อง)</w:t>
            </w:r>
          </w:p>
          <w:p w:rsidR="00291C91" w:rsidRPr="001F7BFA" w:rsidRDefault="00291C91" w:rsidP="003F2F5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1F7BFA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๑๘</w:t>
            </w:r>
            <w:r w:rsidR="00291C9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รูป/คน</w:t>
            </w: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</w:t>
            </w:r>
            <w:r w:rsidR="00350E96">
              <w:rPr>
                <w:rFonts w:ascii="TH SarabunIT๙" w:eastAsia="Calibri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รูป/คน</w:t>
            </w:r>
          </w:p>
          <w:p w:rsidR="00433086" w:rsidRPr="001F7BFA" w:rsidRDefault="00433086" w:rsidP="003F2F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83" w:type="dxa"/>
          </w:tcPr>
          <w:p w:rsidR="001F7BFA" w:rsidRDefault="003F2F51" w:rsidP="00433086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มีความเข้าใจในสังคม</w:t>
            </w:r>
            <w:r w:rsidR="0043308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อาเ</w:t>
            </w:r>
            <w:r w:rsidR="00433086">
              <w:rPr>
                <w:rFonts w:ascii="TH SarabunIT๙" w:eastAsia="Calibri" w:hAnsi="TH SarabunIT๙" w:cs="TH SarabunIT๙" w:hint="cs"/>
                <w:sz w:val="28"/>
                <w:cs/>
              </w:rPr>
              <w:t>ซี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ยนและนำข้อดีมาใช้กับสังคมพุทธในเมืองไทย</w:t>
            </w:r>
            <w:r w:rsidR="001F7BFA" w:rsidRPr="001F7BF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  <w:p w:rsidR="00433086" w:rsidRDefault="00433086" w:rsidP="0043308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43308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43308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433086" w:rsidP="0043308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33086" w:rsidRDefault="00A65E88" w:rsidP="00433086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ผู้เข้าร่</w:t>
            </w:r>
            <w:r w:rsidR="000A6A65">
              <w:rPr>
                <w:rFonts w:ascii="TH SarabunIT๙" w:eastAsia="Calibri" w:hAnsi="TH SarabunIT๙" w:cs="TH SarabunIT๙" w:hint="cs"/>
                <w:sz w:val="28"/>
                <w:cs/>
              </w:rPr>
              <w:t>วมกิจกรรม สามารถทำหลักการมาบริหารจัดการศาสนาสถานในพื้นที่ได้ดีขึ้น</w:t>
            </w:r>
          </w:p>
          <w:p w:rsidR="00433086" w:rsidRPr="001F7BFA" w:rsidRDefault="00433086" w:rsidP="0043308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F7BFA" w:rsidRDefault="001F7BFA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0A6A65" w:rsidRPr="001F7BFA" w:rsidRDefault="000A6A65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0" w:type="dxa"/>
          </w:tcPr>
          <w:p w:rsidR="001F7BFA" w:rsidRPr="001F7BFA" w:rsidRDefault="001F7BFA" w:rsidP="001F7B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F7BFA" w:rsidRDefault="0098173A" w:rsidP="00DA0C5D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๑๘</w:t>
            </w:r>
            <w:r w:rsidR="00B2321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รูป/คน</w:t>
            </w: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Default="00B2321E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B2321E" w:rsidRPr="001F7BFA" w:rsidRDefault="00DA0C5D" w:rsidP="00DA0C5D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๒๐ รูป/คน</w:t>
            </w:r>
          </w:p>
        </w:tc>
        <w:tc>
          <w:tcPr>
            <w:tcW w:w="938" w:type="dxa"/>
          </w:tcPr>
          <w:p w:rsidR="001F7BFA" w:rsidRPr="001F7BFA" w:rsidRDefault="003F2F51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F7BFA" w:rsidRPr="001F7BFA" w:rsidRDefault="003F2F51" w:rsidP="001F7BF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1F7BFA" w:rsidRPr="001F7BFA" w:rsidRDefault="001F7BFA" w:rsidP="001F7BF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7E3825" w:rsidRPr="00307A8C" w:rsidRDefault="00307A8C" w:rsidP="00307A8C">
      <w:pPr>
        <w:jc w:val="right"/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hint="cs"/>
          <w:cs/>
          <w:lang w:bidi="th-TH"/>
        </w:rPr>
        <w:lastRenderedPageBreak/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Pr="00307A8C">
        <w:rPr>
          <w:rFonts w:ascii="TH SarabunIT๙" w:hAnsi="TH SarabunIT๙" w:cs="TH SarabunIT๙"/>
          <w:sz w:val="28"/>
          <w:szCs w:val="28"/>
          <w:cs/>
          <w:lang w:bidi="th-TH"/>
        </w:rPr>
        <w:t>๒</w:t>
      </w:r>
    </w:p>
    <w:p w:rsidR="00307A8C" w:rsidRDefault="00307A8C">
      <w:pPr>
        <w:rPr>
          <w:lang w:bidi="th-TH"/>
        </w:rPr>
      </w:pPr>
    </w:p>
    <w:tbl>
      <w:tblPr>
        <w:tblStyle w:val="1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498"/>
        <w:gridCol w:w="1912"/>
        <w:gridCol w:w="1632"/>
        <w:gridCol w:w="1275"/>
        <w:gridCol w:w="1683"/>
        <w:gridCol w:w="1440"/>
        <w:gridCol w:w="1130"/>
        <w:gridCol w:w="992"/>
        <w:gridCol w:w="938"/>
        <w:gridCol w:w="900"/>
        <w:gridCol w:w="720"/>
      </w:tblGrid>
      <w:tr w:rsidR="00307A8C" w:rsidRPr="001F7BFA" w:rsidTr="0099333C">
        <w:trPr>
          <w:trHeight w:val="474"/>
        </w:trPr>
        <w:tc>
          <w:tcPr>
            <w:tcW w:w="2498" w:type="dxa"/>
            <w:vMerge w:val="restart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12" w:type="dxa"/>
            <w:vMerge w:val="restart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632" w:type="dxa"/>
            <w:vMerge w:val="restart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F7BFA">
              <w:rPr>
                <w:rFonts w:ascii="TH SarabunIT๙" w:eastAsia="Calibri" w:hAnsi="TH SarabunIT๙" w:cs="TH SarabunIT๙"/>
                <w:szCs w:val="22"/>
                <w:cs/>
              </w:rPr>
              <w:t>หน่วยงาน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1F7BFA">
              <w:rPr>
                <w:rFonts w:ascii="TH SarabunIT๙" w:eastAsia="Calibri" w:hAnsi="TH SarabunIT๙" w:cs="TH SarabunIT๙"/>
                <w:szCs w:val="22"/>
                <w:cs/>
              </w:rPr>
              <w:t>รับผิดชอบ</w:t>
            </w:r>
          </w:p>
        </w:tc>
        <w:tc>
          <w:tcPr>
            <w:tcW w:w="2958" w:type="dxa"/>
            <w:gridSpan w:val="2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  <w:vMerge w:val="restart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งบประมาณที่ใช้/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3960" w:type="dxa"/>
            <w:gridSpan w:val="4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7B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8"/>
                <w:cs/>
              </w:rPr>
              <w:t>หมายเหตุ</w:t>
            </w:r>
          </w:p>
        </w:tc>
      </w:tr>
      <w:tr w:rsidR="00307A8C" w:rsidRPr="001F7BFA" w:rsidTr="0099333C">
        <w:trPr>
          <w:trHeight w:val="1202"/>
        </w:trPr>
        <w:tc>
          <w:tcPr>
            <w:tcW w:w="2498" w:type="dxa"/>
            <w:vMerge/>
          </w:tcPr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2" w:type="dxa"/>
            <w:vMerge/>
          </w:tcPr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2" w:type="dxa"/>
            <w:vMerge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ผลลัพธ์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683" w:type="dxa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ผลลัพธ์เชิงคุณภาพ</w:t>
            </w:r>
          </w:p>
        </w:tc>
        <w:tc>
          <w:tcPr>
            <w:tcW w:w="1440" w:type="dxa"/>
            <w:vMerge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0" w:type="dxa"/>
            <w:vAlign w:val="center"/>
          </w:tcPr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๑</w:t>
            </w:r>
          </w:p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(ต.ค.-ธ.ค.</w:t>
            </w:r>
            <w:r w:rsidRPr="001F7BFA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๖๐</w:t>
            </w: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๒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(ม.ค.-มี.ค.๖๑)</w:t>
            </w:r>
          </w:p>
        </w:tc>
        <w:tc>
          <w:tcPr>
            <w:tcW w:w="938" w:type="dxa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๓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  <w:vAlign w:val="center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ไตรมาส ๔</w:t>
            </w:r>
          </w:p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0"/>
                <w:szCs w:val="24"/>
                <w:cs/>
              </w:rPr>
            </w:pPr>
            <w:r w:rsidRPr="001F7BFA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(ก.ค.-ก.ย.๖๑)</w:t>
            </w:r>
          </w:p>
        </w:tc>
        <w:tc>
          <w:tcPr>
            <w:tcW w:w="720" w:type="dxa"/>
            <w:vMerge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07A8C" w:rsidRPr="001F7BFA" w:rsidTr="0099333C">
        <w:tc>
          <w:tcPr>
            <w:tcW w:w="2498" w:type="dxa"/>
          </w:tcPr>
          <w:p w:rsidR="00307A8C" w:rsidRDefault="00307A8C" w:rsidP="00307A8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๓.</w:t>
            </w:r>
            <w:r w:rsidRPr="001F7B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1F7BF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สืบสานประเพณีวัฒนธรรมไทย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มุสลิม</w:t>
            </w:r>
            <w:r w:rsidR="00B715A6">
              <w:rPr>
                <w:rFonts w:ascii="TH SarabunIT๙" w:eastAsia="Calibri" w:hAnsi="TH SarabunIT๙" w:cs="TH SarabunIT๙" w:hint="cs"/>
                <w:sz w:val="28"/>
                <w:cs/>
              </w:rPr>
              <w:t>ในสังคมพหุวัฒนธรรม</w:t>
            </w:r>
          </w:p>
          <w:p w:rsidR="00B715A6" w:rsidRPr="001F7BFA" w:rsidRDefault="00B715A6" w:rsidP="00307A8C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กิจกรรม   เรียนรู้พิธีขบวนแห่ประเพณีการแต่งงานก่อนเข้าพิธีจดทะเบียนสมรสของประเทสกลุ่มอาเวียน (ไทย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มาเลเซีย) การสื่อสารแลการอยู่ร่วมกันในสังคมพหุวัฒนธรรม ๓ จังหวัดชายแดนภาคใต้</w:t>
            </w:r>
          </w:p>
          <w:p w:rsidR="00307A8C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07A8C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07A8C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07A8C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07A8C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DotumChe" w:hAnsi="TH SarabunIT๙" w:cs="TH SarabunIT๙"/>
                <w:color w:val="000000"/>
                <w:sz w:val="28"/>
              </w:rPr>
            </w:pPr>
          </w:p>
          <w:p w:rsidR="00307A8C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Pr="001F7BFA" w:rsidRDefault="00307A8C" w:rsidP="0099333C">
            <w:pPr>
              <w:tabs>
                <w:tab w:val="left" w:pos="284"/>
                <w:tab w:val="left" w:pos="1440"/>
              </w:tabs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12" w:type="dxa"/>
          </w:tcPr>
          <w:p w:rsidR="00307A8C" w:rsidRPr="001F7BFA" w:rsidRDefault="00307A8C" w:rsidP="00B715A6">
            <w:pPr>
              <w:rPr>
                <w:rFonts w:ascii="TH SarabunIT๙" w:eastAsia="Calibri" w:hAnsi="TH SarabunIT๙" w:cs="TH SarabunIT๙"/>
                <w:sz w:val="28"/>
              </w:rPr>
            </w:pPr>
            <w:r w:rsidRPr="001F7BFA">
              <w:rPr>
                <w:rFonts w:ascii="TH SarabunIT๙" w:eastAsia="Calibri" w:hAnsi="TH SarabunIT๙" w:cs="TH SarabunIT๙" w:hint="cs"/>
                <w:sz w:val="28"/>
                <w:cs/>
              </w:rPr>
              <w:t>เพื่อ</w:t>
            </w:r>
            <w:r w:rsidR="00B715A6">
              <w:rPr>
                <w:rFonts w:ascii="TH SarabunIT๙" w:eastAsia="Calibri" w:hAnsi="TH SarabunIT๙" w:cs="TH SarabunIT๙" w:hint="cs"/>
                <w:sz w:val="28"/>
                <w:cs/>
              </w:rPr>
              <w:t>ให้นักศึกษามีความรู้ ความเข้าใจเกี่ยวกับวัฒนธรรมของสังคมอาเวียน  สามารถนำความรู้ที่ได้ไปประยุกต์ใช้ในการดำเนินชีวิตอย่างมีความสุข</w:t>
            </w: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32" w:type="dxa"/>
          </w:tcPr>
          <w:p w:rsidR="00307A8C" w:rsidRPr="001F7BFA" w:rsidRDefault="00B715A6" w:rsidP="00B715A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 อ.แว้ง</w:t>
            </w:r>
          </w:p>
        </w:tc>
        <w:tc>
          <w:tcPr>
            <w:tcW w:w="1275" w:type="dxa"/>
          </w:tcPr>
          <w:p w:rsidR="00477560" w:rsidRDefault="00B715A6" w:rsidP="0047756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นักศึกษา และบุคลากร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 อำเภอแว้ง</w:t>
            </w:r>
          </w:p>
          <w:p w:rsidR="00477560" w:rsidRDefault="00B715A6" w:rsidP="0047756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จำนวน</w:t>
            </w:r>
          </w:p>
          <w:p w:rsidR="00307A8C" w:rsidRDefault="00B715A6" w:rsidP="0047756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477560"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๒๐ คน</w:t>
            </w:r>
          </w:p>
          <w:p w:rsidR="00307A8C" w:rsidRDefault="00307A8C" w:rsidP="00477560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Pr="001F7BFA" w:rsidRDefault="00307A8C" w:rsidP="0047756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83" w:type="dxa"/>
          </w:tcPr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มีความ</w:t>
            </w:r>
            <w:r w:rsidR="00B715A6">
              <w:rPr>
                <w:rFonts w:ascii="TH SarabunIT๙" w:eastAsia="Calibri" w:hAnsi="TH SarabunIT๙" w:cs="TH SarabunIT๙" w:hint="cs"/>
                <w:sz w:val="28"/>
                <w:cs/>
              </w:rPr>
              <w:t>รู้ความ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เข้าใจ</w:t>
            </w:r>
            <w:r w:rsidR="00B715A6">
              <w:rPr>
                <w:rFonts w:ascii="TH SarabunIT๙" w:eastAsia="Calibri" w:hAnsi="TH SarabunIT๙" w:cs="TH SarabunIT๙" w:hint="cs"/>
                <w:sz w:val="28"/>
                <w:cs/>
              </w:rPr>
              <w:t>เกี่ยวกับวัฒนธรรมสังคมอาเวียน และสามารถนำความรู้ที่</w:t>
            </w:r>
            <w:r w:rsidR="00477560">
              <w:rPr>
                <w:rFonts w:ascii="TH SarabunIT๙" w:eastAsia="Calibri" w:hAnsi="TH SarabunIT๙" w:cs="TH SarabunIT๙" w:hint="cs"/>
                <w:sz w:val="28"/>
                <w:cs/>
              </w:rPr>
              <w:t>ได้ไปปรับใช้ในชีวิตอย่างมีความสุ</w:t>
            </w:r>
            <w:r w:rsidR="00B715A6">
              <w:rPr>
                <w:rFonts w:ascii="TH SarabunIT๙" w:eastAsia="Calibri" w:hAnsi="TH SarabunIT๙" w:cs="TH SarabunIT๙" w:hint="cs"/>
                <w:sz w:val="28"/>
                <w:cs/>
              </w:rPr>
              <w:t>ข</w:t>
            </w: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Pr="001F7BFA" w:rsidRDefault="00307A8C" w:rsidP="0047756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307A8C" w:rsidRDefault="00477560" w:rsidP="0099333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งบเงินอุดหนุน</w:t>
            </w:r>
          </w:p>
          <w:p w:rsidR="00477560" w:rsidRDefault="00477560" w:rsidP="0099333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๓๙,๔๐๐ บาท</w:t>
            </w:r>
          </w:p>
          <w:p w:rsidR="00477560" w:rsidRDefault="00477560" w:rsidP="0099333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จาก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กศน.จ.นธ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0" w:type="dxa"/>
          </w:tcPr>
          <w:p w:rsidR="00307A8C" w:rsidRPr="001F7BFA" w:rsidRDefault="00477560" w:rsidP="0099333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516AA" wp14:editId="38636E5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171450</wp:posOffset>
                      </wp:positionV>
                      <wp:extent cx="634365" cy="0"/>
                      <wp:effectExtent l="38100" t="76200" r="1333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365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50.45pt;margin-top:13.5pt;width:49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" strokecolor="black [3213]" strokeweight="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38" w:type="dxa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07A8C" w:rsidRPr="001F7BFA" w:rsidRDefault="00307A8C" w:rsidP="0099333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307A8C" w:rsidRPr="001F7BFA" w:rsidRDefault="00307A8C" w:rsidP="0099333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307A8C" w:rsidRDefault="00307A8C">
      <w:pPr>
        <w:rPr>
          <w:lang w:bidi="th-TH"/>
        </w:rPr>
      </w:pPr>
    </w:p>
    <w:p w:rsidR="00307A8C" w:rsidRDefault="00307A8C">
      <w:pPr>
        <w:rPr>
          <w:lang w:bidi="th-TH"/>
        </w:rPr>
      </w:pPr>
    </w:p>
    <w:sectPr w:rsidR="00307A8C" w:rsidSect="00370728">
      <w:pgSz w:w="16839" w:h="11907" w:orient="landscape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0F"/>
    <w:rsid w:val="00022716"/>
    <w:rsid w:val="00064B0F"/>
    <w:rsid w:val="000A6A65"/>
    <w:rsid w:val="001F7BFA"/>
    <w:rsid w:val="0026700F"/>
    <w:rsid w:val="00291C91"/>
    <w:rsid w:val="002E1141"/>
    <w:rsid w:val="00307A8C"/>
    <w:rsid w:val="00350E96"/>
    <w:rsid w:val="00370728"/>
    <w:rsid w:val="003F2F51"/>
    <w:rsid w:val="00433086"/>
    <w:rsid w:val="00477560"/>
    <w:rsid w:val="007E3825"/>
    <w:rsid w:val="0098173A"/>
    <w:rsid w:val="00A05EC0"/>
    <w:rsid w:val="00A65E88"/>
    <w:rsid w:val="00B2321E"/>
    <w:rsid w:val="00B715A6"/>
    <w:rsid w:val="00DA0C5D"/>
    <w:rsid w:val="00F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F7BFA"/>
    <w:rPr>
      <w:szCs w:val="28"/>
      <w:lang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F7BFA"/>
    <w:rPr>
      <w:szCs w:val="28"/>
      <w:lang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5DFE-ABFF-4B8A-9AE8-E2D8D4D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2018-02-27T09:19:00Z</dcterms:created>
  <dcterms:modified xsi:type="dcterms:W3CDTF">2018-02-27T09:19:00Z</dcterms:modified>
</cp:coreProperties>
</file>